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59" w:rsidRDefault="00B00429" w:rsidP="00B00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fldChar w:fldCharType="begin"/>
      </w:r>
      <w:r>
        <w:instrText xml:space="preserve"> HYPERLINK "https://www.giustizia-amministrativa.it/portale/pages/istituzionale/visualizza?nodeRef=&amp;schema=tar_rm&amp;nrg=202003463&amp;nomeFile=202004098_05.html&amp;subDir=Provvedimenti" \o "Tar Lazio, sez. II ter, ord., 27 maggio 2020, n. 4098 - Pres. Morabito" </w:instrText>
      </w:r>
      <w:r>
        <w:fldChar w:fldCharType="separate"/>
      </w:r>
      <w:r w:rsidR="005A6359" w:rsidRPr="005A6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Tar Lazio, sez. II ter, </w:t>
      </w:r>
      <w:proofErr w:type="spellStart"/>
      <w:r w:rsidR="005A6359" w:rsidRPr="005A6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ord</w:t>
      </w:r>
      <w:proofErr w:type="spellEnd"/>
      <w:r w:rsidR="005A6359" w:rsidRPr="005A6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., 27 maggio 2020, n. 4098 - </w:t>
      </w:r>
      <w:proofErr w:type="spellStart"/>
      <w:r w:rsidR="005A6359" w:rsidRPr="005A6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Pres</w:t>
      </w:r>
      <w:proofErr w:type="spellEnd"/>
      <w:r w:rsidR="005A6359" w:rsidRPr="005A6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. Morabito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end"/>
      </w:r>
    </w:p>
    <w:p w:rsidR="00B00429" w:rsidRPr="00B00429" w:rsidRDefault="00B00429" w:rsidP="00B00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5A6359" w:rsidRPr="005A6359" w:rsidRDefault="005A6359" w:rsidP="004A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Pubblicato il 27/05/2020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N. 04098/2020 REG.PROV.CAU.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N. 03463/2020 REG.RIC.           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26C8F40" wp14:editId="2D3254A2">
            <wp:extent cx="723265" cy="82677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A63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REPUBBLICA ITALIANA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Il Tribunale Amministrativo Regionale per il Lazio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(Sezione Seconda Ter)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ha pronunciato la presente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ORDINANZA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ricorso numero di registro generale 3463 del 2020, integrato da motivi aggiunti, proposto da 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RISPARMIO CASA INEST S.R.L., RICA GEST S.R.L. SOCIETA’ UNIPERSONALE, RISPARMIO CASA CENTOCELLE S.R.L.. RISPARMIO CASA VEIENTANA S.R.L. e MORGAN HOUSE S.R.L.S., in persona dei rispettivi legali rappresentanti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domicilio digitale eletto presso l’indirizzo di posta elettronica certificata, come risultante dai registri di giustizia, dell’avv. Giorgio Roderi che, unitamente agli avv.ti Erica Santantonio e Dario Sferrazza Papa, le rappresenta e difende nel presente giudizio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</w:t>
      </w:r>
    </w:p>
    <w:p w:rsidR="005A6359" w:rsidRPr="005A6359" w:rsidRDefault="005A6359" w:rsidP="005A63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ROMA CAPITALE, in persona del Sindaco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, elettivamente domiciliata in Roma, via del Tempio di Giove n. 21 presso la sede dell’avvocatura comunale e rappresentata e difesa nel presente giudizio dall’avv. Sergio Siracusa;</w:t>
      </w: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REGIONE LAZIO, in persona del Presidente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, elettivamente domiciliata in Roma, via Marcantonio Colonna n. 27 presso la sede dell’avvocatura dell’ente e rappresentata e difesa nel presente giudizio dall’avv. Giuseppe Allocca;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nei confronti</w:t>
      </w:r>
    </w:p>
    <w:p w:rsidR="005A6359" w:rsidRPr="005A6359" w:rsidRDefault="005A6359" w:rsidP="005A63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VENCHI S.P.A., in persona del legale rappresentante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non costituita in giudizio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per l'annullamento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previa sospensione dell'efficacia,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dei seguenti atti: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concerne il ricorso principale: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ordinanza del Sindaco di Roma n. 91 del 07/05/2020 avente ad oggetto: ‘Emergenza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fase 2 Misure urgenti e necessarie al fine di prevenire la diffusione del virus COVID-19. Orari di apertura al pubblico delle attività commerciali, artigianali e produttive’; 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- per quanto necessario, ordinanza n. Z00037 del Presidente della Regione Lazio emessa il 30/04/2020 e recante ‘Ulteriori misure per la prevenzione e gestione dell’emergenza epidemiologica da COVID-2019 – Ordinanza ai sensi dell’art. 32, comma 3 della legge 23 dicembre 1978 n. 833 in materia di igiene e sanità pubblica’;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riguarda il ricorso per motivi aggiunti depositato il 15/05/2020: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ordinanza del Sindaco di Roma n. 92 del 15/05/2020 recante ‘Emergenza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fase 2 Misure urgenti e necessarie al fine di contenere e gestire la diffusione del COVID-19. Orari di apertura al pubblico delle attività commerciali, artigianali e produttive’;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riguarda il ricorso per motivi aggiunti depositato il 18/05/2020: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- ordinanza del Presidente della Regione Lazio n. Z00041 del 16/05/2020 recante ‘Ulteriori misure per la prevenzione e gestione dell’emergenza epidemiologica da COVID-2019. Riavvio di attività economiche, produttive e sociali a decorrere dal 18 maggio 2020. Ordinanza ai sensi dell’art. 32, comma 3 della legge 23 dicembre 1978, n. 833 in materia di igiene e sanità pubblica’;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il ricorso, i motivi aggiunti e i relativi allegati;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gli atti di costituzione in giudizio delle amministrazioni in epigrafe indicate;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domanda di sospensione dell'esecuzione del provvedimento impugnato, presentata in via incidentale dalla parte ricorrente;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l'art. 55 cod. proc.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amm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tutti gli atti della causa;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Ritenuta la propria giurisdizione e competenza;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Relatore nella camera di consiglio del giorno 26 maggio 2020 il dott. Michelangelo Francavilla;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 la camera di consiglio si è svolta, ai sensi dell’art. 84 comma 5 d. l. n. 18/2020, come modificato dal d. l. n. 28/2020, attraverso videoconferenza con l’utilizzo della piattaforma “Microsoft Teams” come previsto dalla circolare n. 6305 del 13/03/2020 del Segretario Generale della Giustizia Amministrativa;</w:t>
      </w:r>
    </w:p>
    <w:p w:rsidR="005A6359" w:rsidRPr="005A6359" w:rsidRDefault="005A6359" w:rsidP="005A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 l’ordinanza di Roma Capitale n. 91 del 07/05/2020, impugnata con il ricorso principale, non ha mai spiegato i suoi effetti in quanto è stata annullata e sostituita dalla successiva ordinanza comunale n. 92 del 15/05/2020;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che, per questo motivo, l’istanza cautelare proposta con il ricorso principale è divenuta improcedibile per sopravvenuta carenza d’interesse;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Considerato, altresì, che non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decorsi i termini necessari per la decisione in ordine all’istanza cautelare proposta con il ricorso per motivi aggiunti depositato il 18/05/2020;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Considerato, poi, che l’istanza cautelare formulata con il ricorso per motivi aggiunti depositato il 15/05/2020 non è meritevole di accoglimento;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Considerato, in particolare, che: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- con il ricorso per motivi aggiunti depositato il 15/05/2000 le ricorrenti lamentano le limitazioni apportate dal provvedimento impugnato agli orari di apertura e chiusura dei loro esercizi commerciali (le ricorrenti rientrano nella fascia oraria F3, con obbligo di apertura 11.00-11.30 ed obbligo di chiusura entro le ore 21.30) essendo venuto meno l’obbligo di chiusura festiva pomeridiana, anch’esso stigmatizzato con il ricorso principale ed originariamente previsto dall’ordinanza comunale n. 91 del 07/05/2020;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così perimetrato l’interesse ed il pregiudizio, anche cautelare, posti a fondamento della domanda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caducatoria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va, poi, rilevato che l’art. 31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d.l.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201/11 (convertito dalla l. n. 214/11) consente agli enti locali di prevedere le limitazioni, ivi indicate, a tutela di una serie di interessi tra cui quello della salute evocato nella fattispecie dai provvedimenti impugnati;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- nello stesso senso depongono gli artt. 8 comma 1 lettera h) e 12 d. lgs. n. 59/10 e 1 comma 2 d. l. n. 1/12 nonché gli artt. 2 e 16 comma 2 l. r. n. 22/19;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la valutazione di adeguatezza della misura prescelta rispetto al dichiarato fine di tutela della salute, contestata nel ricorso per motivi aggiunti depositato il 15/05/2020 (pag. 8), costituisce espressione di un giudizio di merito di pertinenza dell’amministrazione sindacabile in sede giurisdizionale solo ab </w:t>
      </w:r>
      <w:proofErr w:type="spellStart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extrinseco</w:t>
      </w:r>
      <w:proofErr w:type="spellEnd"/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presenza di palesi illogicità ed incoerenze, nella fattispecie non ravvisabili anche in considerazione della temporaneità degli effetti del provvedimento inibitorio comunale (avente efficacia fino al 21/06/2020);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in ogni caso, il bilanciamento degli interessi coinvolti, effettuato anche tenendo conto della limitata durata temporale del provvedimento impugnato e della riferibilità del danno prospettato esclusivamente alla posizione dei ricorrenti, induce il Tribunale a ritenere prevalente nella </w:t>
      </w: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fattispecie l’interesse pubblico alla tutela della salute della collettività posto a fondamento delle contestate limitazioni d’orario;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che, per questi motivi, l’istanza cautelare formulata con il ricorso per motivi aggiunti depositato il 15/05/2020 deve essere respinta;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 la novità di alcune delle questioni giuridiche oggetto di causa giustifica la compensazione delle spese della fase cautelare;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P.Q.M.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Il Tribunale Amministrativo Regionale per il Lazio (Sezione Seconda Ter):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1) dichiara l’improcedibilità dell’istanza cautelare proposta con il ricorso principale;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2) respinge l’istanza cautelare proposta con il ricorso per motivi aggiunti depositato il 15/05/2020;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3) dispone la compensazione delle spese della fase cautelare.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ordinanza sarà eseguita dall'Amministrazione ed è depositata presso la segreteria del tribunale che provvederà a darne comunicazione alle parti.</w:t>
      </w:r>
    </w:p>
    <w:p w:rsidR="005A6359" w:rsidRPr="005A6359" w:rsidRDefault="005A6359" w:rsidP="005A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Così deciso in Roma nella camera di consiglio del giorno 26 maggio 2020, tenutasi mediante collegamento da remoto in videoconferenza secondo quanto disposto dall’art. 84 comma 6 d. l. n. 18/2020, come modificato dal d. l. n. 28/2020, con l'intervento dei magistrati: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Pietro Morabito, Presidente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Fabio Mattei, Consigliere</w:t>
      </w:r>
    </w:p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Michelangelo Francavilla, Consigliere, Estensore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1"/>
        <w:gridCol w:w="81"/>
        <w:gridCol w:w="3966"/>
      </w:tblGrid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63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63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PRESIDENTE</w:t>
            </w:r>
          </w:p>
        </w:tc>
      </w:tr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63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Michelangelo Francavilla</w:t>
            </w: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63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Morabito</w:t>
            </w:r>
          </w:p>
        </w:tc>
      </w:tr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A6359" w:rsidRPr="005A6359" w:rsidTr="005A6359"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A6359" w:rsidRPr="005A6359" w:rsidRDefault="005A6359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A6359" w:rsidRPr="005A6359" w:rsidRDefault="005A6359" w:rsidP="004A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359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</w:t>
      </w:r>
    </w:p>
    <w:p w:rsidR="005A6359" w:rsidRDefault="005A6359"/>
    <w:sectPr w:rsidR="005A6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035"/>
    <w:multiLevelType w:val="multilevel"/>
    <w:tmpl w:val="395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6359"/>
    <w:rsid w:val="004A79DC"/>
    <w:rsid w:val="005A6359"/>
    <w:rsid w:val="00B00429"/>
    <w:rsid w:val="00B23CF2"/>
    <w:rsid w:val="00D616D9"/>
    <w:rsid w:val="00D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F7B"/>
  <w15:chartTrackingRefBased/>
  <w15:docId w15:val="{BB426F59-ED92-456C-B898-E6FE91B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Articolo"/>
    <w:uiPriority w:val="1"/>
    <w:qFormat/>
    <w:rsid w:val="00D967A1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4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3</cp:revision>
  <cp:lastPrinted>2020-06-01T07:22:00Z</cp:lastPrinted>
  <dcterms:created xsi:type="dcterms:W3CDTF">2020-06-01T07:21:00Z</dcterms:created>
  <dcterms:modified xsi:type="dcterms:W3CDTF">2020-06-01T17:31:00Z</dcterms:modified>
</cp:coreProperties>
</file>